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C9" w:rsidRPr="00A000C9" w:rsidRDefault="00A000C9" w:rsidP="005913A9">
      <w:pPr>
        <w:pStyle w:val="Default"/>
        <w:jc w:val="both"/>
        <w:rPr>
          <w:sz w:val="22"/>
          <w:szCs w:val="22"/>
        </w:rPr>
      </w:pPr>
    </w:p>
    <w:p w:rsidR="00A000C9" w:rsidRDefault="00A000C9" w:rsidP="00EE12B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4027AC">
        <w:rPr>
          <w:b/>
          <w:bCs/>
          <w:sz w:val="22"/>
          <w:szCs w:val="22"/>
        </w:rPr>
        <w:t>odel</w:t>
      </w:r>
      <w:r w:rsidRPr="00A000C9">
        <w:rPr>
          <w:b/>
          <w:bCs/>
          <w:sz w:val="22"/>
          <w:szCs w:val="22"/>
        </w:rPr>
        <w:t xml:space="preserve"> de declaració d’absència de conflictes d’interès (DACI)</w:t>
      </w:r>
      <w:r w:rsidR="004027AC" w:rsidRPr="004027AC">
        <w:rPr>
          <w:b/>
          <w:bCs/>
          <w:sz w:val="22"/>
          <w:szCs w:val="22"/>
        </w:rPr>
        <w:t xml:space="preserve"> </w:t>
      </w:r>
      <w:r w:rsidR="004027AC">
        <w:rPr>
          <w:b/>
          <w:bCs/>
          <w:sz w:val="22"/>
          <w:szCs w:val="22"/>
        </w:rPr>
        <w:t xml:space="preserve">per al beneficiari de la subvenció  d’acord amb </w:t>
      </w:r>
      <w:r w:rsidRPr="00A000C9">
        <w:rPr>
          <w:b/>
          <w:bCs/>
          <w:sz w:val="22"/>
          <w:szCs w:val="22"/>
        </w:rPr>
        <w:t xml:space="preserve">el Pla de mesures antifrau en l’execució d’actuacions finançades pels fons del Mecanisme de Recuperació i Resiliència a la Generalitat de Catalunya, aprovat per l’Acord GOV/19/2022, d’1 de febrer </w:t>
      </w:r>
    </w:p>
    <w:p w:rsidR="004027AC" w:rsidRDefault="004027AC" w:rsidP="005913A9">
      <w:pPr>
        <w:pStyle w:val="Default"/>
        <w:jc w:val="both"/>
        <w:rPr>
          <w:b/>
          <w:bCs/>
          <w:sz w:val="22"/>
          <w:szCs w:val="22"/>
        </w:rPr>
      </w:pPr>
    </w:p>
    <w:p w:rsidR="004027AC" w:rsidRDefault="004027AC" w:rsidP="005913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Expedient: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E12B7" w:rsidRPr="00EE12B7" w:rsidTr="0043478E">
        <w:tc>
          <w:tcPr>
            <w:tcW w:w="8494" w:type="dxa"/>
            <w:gridSpan w:val="2"/>
          </w:tcPr>
          <w:p w:rsidR="00EE12B7" w:rsidRPr="00EE12B7" w:rsidRDefault="00EE12B7" w:rsidP="0043478E">
            <w:pPr>
              <w:jc w:val="both"/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b/>
                <w:sz w:val="18"/>
                <w:szCs w:val="18"/>
                <w:lang w:val="ca-ES"/>
              </w:rPr>
              <w:t>Informació sobre el projecte al Pla de Recuperació, Transformació i Resiliència (PRTR)</w:t>
            </w:r>
          </w:p>
        </w:tc>
      </w:tr>
      <w:tr w:rsidR="00EE12B7" w:rsidRPr="00EE12B7" w:rsidTr="0043478E">
        <w:tc>
          <w:tcPr>
            <w:tcW w:w="2405" w:type="dxa"/>
            <w:vAlign w:val="center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sz w:val="18"/>
                <w:szCs w:val="18"/>
                <w:lang w:val="ca-ES"/>
              </w:rPr>
              <w:t>Projecte PRTR</w:t>
            </w:r>
          </w:p>
        </w:tc>
        <w:tc>
          <w:tcPr>
            <w:tcW w:w="6089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="Arial"/>
                <w:color w:val="000000"/>
                <w:sz w:val="18"/>
                <w:szCs w:val="18"/>
                <w:shd w:val="clear" w:color="auto" w:fill="FFFFFF"/>
                <w:lang w:val="ca-ES"/>
              </w:rPr>
              <w:t>Projecte estratègic per a la recuperació i transformació econòmica (PERTE) de digitalització del cicle de l’aigua, aprovat el 22 de març de 2022 pel Consell de Ministres i prorrogat per Addenda del  6 de juny de 2023, aprovada per la Comissió Europea el 2 d’octubre de 2023.</w:t>
            </w:r>
          </w:p>
        </w:tc>
      </w:tr>
      <w:tr w:rsidR="00EE12B7" w:rsidRPr="00EE12B7" w:rsidTr="0043478E">
        <w:tc>
          <w:tcPr>
            <w:tcW w:w="2405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proofErr w:type="spellStart"/>
            <w:r w:rsidRPr="00EE12B7">
              <w:rPr>
                <w:rFonts w:cstheme="minorHAnsi"/>
                <w:sz w:val="18"/>
                <w:szCs w:val="18"/>
                <w:lang w:val="ca-ES"/>
              </w:rPr>
              <w:t>Subprojecte</w:t>
            </w:r>
            <w:proofErr w:type="spellEnd"/>
          </w:p>
        </w:tc>
        <w:tc>
          <w:tcPr>
            <w:tcW w:w="6089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sz w:val="18"/>
                <w:szCs w:val="18"/>
                <w:lang w:val="ca-ES"/>
              </w:rPr>
              <w:t xml:space="preserve">Territorialització a Catalunya  del </w:t>
            </w:r>
            <w:r w:rsidRPr="00EE12B7">
              <w:rPr>
                <w:rFonts w:cs="Arial"/>
                <w:color w:val="000000"/>
                <w:sz w:val="18"/>
                <w:szCs w:val="18"/>
                <w:shd w:val="clear" w:color="auto" w:fill="FFFFFF"/>
                <w:lang w:val="ca-ES"/>
              </w:rPr>
              <w:t>Projecte estratègic per a la recuperació i transformació econòmica (PERTE) de digitalització del cicle de l’aigua (Conferència Sectorial de 22 de juny de 2022)</w:t>
            </w:r>
          </w:p>
        </w:tc>
      </w:tr>
      <w:tr w:rsidR="00EE12B7" w:rsidRPr="00EE12B7" w:rsidTr="0043478E">
        <w:tc>
          <w:tcPr>
            <w:tcW w:w="2405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sz w:val="18"/>
                <w:szCs w:val="18"/>
                <w:lang w:val="ca-ES"/>
              </w:rPr>
              <w:t>Línia d’actuació</w:t>
            </w:r>
          </w:p>
        </w:tc>
        <w:tc>
          <w:tcPr>
            <w:tcW w:w="6089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sz w:val="18"/>
                <w:szCs w:val="18"/>
                <w:lang w:val="ca-ES"/>
              </w:rPr>
              <w:t xml:space="preserve">Subvencions per a </w:t>
            </w:r>
            <w:r w:rsidRPr="00EE12B7">
              <w:rPr>
                <w:rFonts w:cs="Arial"/>
                <w:sz w:val="18"/>
                <w:szCs w:val="18"/>
                <w:lang w:val="ca-ES"/>
              </w:rPr>
              <w:t>actuacions destinades a fomentar la digitalització de les administracions locals amb competències en la gestió del cicle urbà de l’aigua, en municipis d’entre 5.000 i 20.000 habitants, en el marc del Pla de Recuperació Transformació i Resiliència finançat pels fons Next Generation EU</w:t>
            </w:r>
          </w:p>
        </w:tc>
      </w:tr>
      <w:tr w:rsidR="00EE12B7" w:rsidRPr="00EE12B7" w:rsidTr="0043478E">
        <w:tc>
          <w:tcPr>
            <w:tcW w:w="2405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sz w:val="18"/>
                <w:szCs w:val="18"/>
                <w:lang w:val="ca-ES"/>
              </w:rPr>
              <w:t>Component</w:t>
            </w:r>
          </w:p>
        </w:tc>
        <w:tc>
          <w:tcPr>
            <w:tcW w:w="6089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sz w:val="18"/>
                <w:szCs w:val="18"/>
                <w:lang w:val="ca-ES"/>
              </w:rPr>
              <w:t>Component 5 – Preservació del litoral i recursos hídrics</w:t>
            </w:r>
          </w:p>
        </w:tc>
      </w:tr>
      <w:tr w:rsidR="00EE12B7" w:rsidRPr="00EE12B7" w:rsidTr="0043478E">
        <w:tc>
          <w:tcPr>
            <w:tcW w:w="2405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sz w:val="18"/>
                <w:szCs w:val="18"/>
                <w:lang w:val="ca-ES"/>
              </w:rPr>
              <w:t>Mesura</w:t>
            </w:r>
          </w:p>
        </w:tc>
        <w:tc>
          <w:tcPr>
            <w:tcW w:w="6089" w:type="dxa"/>
          </w:tcPr>
          <w:p w:rsidR="00EE12B7" w:rsidRPr="00EE12B7" w:rsidRDefault="00EE12B7" w:rsidP="0043478E">
            <w:pPr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EE12B7">
              <w:rPr>
                <w:rFonts w:cstheme="minorHAnsi"/>
                <w:sz w:val="18"/>
                <w:szCs w:val="18"/>
                <w:lang w:val="ca-ES"/>
              </w:rPr>
              <w:t xml:space="preserve">Inversió 3 - </w:t>
            </w:r>
            <w:r w:rsidRPr="00EE12B7">
              <w:rPr>
                <w:rFonts w:cs="Arial"/>
                <w:sz w:val="18"/>
                <w:szCs w:val="18"/>
                <w:lang w:val="ca-ES"/>
              </w:rPr>
              <w:t>Transició digital en el sector de l’aigua</w:t>
            </w:r>
          </w:p>
        </w:tc>
      </w:tr>
    </w:tbl>
    <w:p w:rsidR="00947E0A" w:rsidRDefault="00947E0A" w:rsidP="005913A9">
      <w:pPr>
        <w:pStyle w:val="Default"/>
        <w:jc w:val="both"/>
        <w:rPr>
          <w:sz w:val="22"/>
          <w:szCs w:val="22"/>
        </w:rPr>
      </w:pPr>
    </w:p>
    <w:p w:rsidR="004027AC" w:rsidRDefault="004027AC" w:rsidP="005913A9">
      <w:pPr>
        <w:pStyle w:val="Default"/>
        <w:jc w:val="both"/>
        <w:rPr>
          <w:sz w:val="22"/>
          <w:szCs w:val="22"/>
        </w:rPr>
      </w:pPr>
      <w:r w:rsidRPr="000E2F21">
        <w:rPr>
          <w:b/>
          <w:sz w:val="22"/>
          <w:szCs w:val="22"/>
        </w:rPr>
        <w:t>Subvenció:</w:t>
      </w:r>
      <w:r>
        <w:rPr>
          <w:sz w:val="22"/>
          <w:szCs w:val="22"/>
        </w:rPr>
        <w:t xml:space="preserve"> </w:t>
      </w:r>
      <w:r w:rsidR="00EE12B7" w:rsidRPr="00EE12B7">
        <w:rPr>
          <w:sz w:val="22"/>
          <w:szCs w:val="22"/>
        </w:rPr>
        <w:t>Subvencions per a actuacions destinades a fomentar la digitalització de les administracions locals amb competències en la gestió del cicle urbà de l’aigua, en municipis d’entre 5.000 i 20.000 habitants, en el marc del Pla de Recuperació Transformació i Resiliència finançat pels fons Next Generation EU</w:t>
      </w:r>
    </w:p>
    <w:p w:rsidR="00947E0A" w:rsidRDefault="00947E0A" w:rsidP="005913A9">
      <w:pPr>
        <w:pStyle w:val="Default"/>
        <w:jc w:val="both"/>
        <w:rPr>
          <w:sz w:val="22"/>
          <w:szCs w:val="22"/>
        </w:rPr>
      </w:pPr>
    </w:p>
    <w:p w:rsidR="004027AC" w:rsidRPr="000E2F21" w:rsidRDefault="004027AC" w:rsidP="005913A9">
      <w:pPr>
        <w:pStyle w:val="Default"/>
        <w:jc w:val="both"/>
        <w:rPr>
          <w:sz w:val="22"/>
          <w:szCs w:val="22"/>
        </w:rPr>
      </w:pPr>
      <w:r w:rsidRPr="000E2F21">
        <w:rPr>
          <w:b/>
          <w:sz w:val="22"/>
          <w:szCs w:val="22"/>
        </w:rPr>
        <w:t>Òrgan convocant:</w:t>
      </w:r>
      <w:r>
        <w:rPr>
          <w:sz w:val="22"/>
          <w:szCs w:val="22"/>
        </w:rPr>
        <w:t xml:space="preserve"> </w:t>
      </w:r>
      <w:r w:rsidR="00EE12B7">
        <w:rPr>
          <w:sz w:val="22"/>
          <w:szCs w:val="22"/>
        </w:rPr>
        <w:t xml:space="preserve">Secretaria de Governs Locals i de Relacions amb l’Aran del Departament de la Presidència (P.D. Resolució </w:t>
      </w:r>
      <w:r w:rsidR="000E2F21" w:rsidRPr="000E2F21">
        <w:rPr>
          <w:sz w:val="22"/>
          <w:szCs w:val="22"/>
        </w:rPr>
        <w:t>PRE/3588/2022, de 7 de novembre, DOGC núm. 8797, de 21.11.2022</w:t>
      </w:r>
      <w:r w:rsidR="000E2F21">
        <w:rPr>
          <w:sz w:val="22"/>
          <w:szCs w:val="22"/>
        </w:rPr>
        <w:t>)</w:t>
      </w:r>
    </w:p>
    <w:p w:rsidR="00EE12B7" w:rsidRDefault="00EE12B7" w:rsidP="005913A9">
      <w:pPr>
        <w:pStyle w:val="Default"/>
        <w:jc w:val="both"/>
        <w:rPr>
          <w:sz w:val="22"/>
          <w:szCs w:val="22"/>
        </w:rPr>
      </w:pPr>
    </w:p>
    <w:p w:rsidR="00EE12B7" w:rsidRDefault="00EE12B7" w:rsidP="005913A9">
      <w:pPr>
        <w:pStyle w:val="Default"/>
        <w:jc w:val="both"/>
        <w:rPr>
          <w:sz w:val="22"/>
          <w:szCs w:val="22"/>
        </w:rPr>
      </w:pPr>
      <w:r w:rsidRPr="000E2F21">
        <w:rPr>
          <w:b/>
          <w:sz w:val="22"/>
          <w:szCs w:val="22"/>
        </w:rPr>
        <w:t>Sol·licitant:</w:t>
      </w:r>
      <w:r w:rsidR="000E2F21">
        <w:rPr>
          <w:sz w:val="22"/>
          <w:szCs w:val="22"/>
        </w:rPr>
        <w:t xml:space="preserve"> ________________________________</w:t>
      </w:r>
    </w:p>
    <w:p w:rsidR="004027AC" w:rsidRDefault="004027AC" w:rsidP="005913A9">
      <w:pPr>
        <w:pStyle w:val="Default"/>
        <w:jc w:val="both"/>
        <w:rPr>
          <w:b/>
          <w:bCs/>
          <w:sz w:val="22"/>
          <w:szCs w:val="22"/>
        </w:rPr>
      </w:pPr>
    </w:p>
    <w:p w:rsidR="004027AC" w:rsidRDefault="004027AC" w:rsidP="005913A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[Nom i cognoms]</w:t>
      </w:r>
      <w:r>
        <w:rPr>
          <w:sz w:val="22"/>
          <w:szCs w:val="22"/>
        </w:rPr>
        <w:t xml:space="preserve">, amb DNI </w:t>
      </w:r>
      <w:r>
        <w:rPr>
          <w:b/>
          <w:bCs/>
          <w:sz w:val="22"/>
          <w:szCs w:val="22"/>
        </w:rPr>
        <w:t>[núm. DNI]</w:t>
      </w:r>
      <w:r>
        <w:rPr>
          <w:sz w:val="22"/>
          <w:szCs w:val="22"/>
        </w:rPr>
        <w:t xml:space="preserve">, com a </w:t>
      </w:r>
      <w:r>
        <w:rPr>
          <w:b/>
          <w:bCs/>
          <w:sz w:val="22"/>
          <w:szCs w:val="22"/>
        </w:rPr>
        <w:t>[condició en què declara</w:t>
      </w:r>
      <w:r w:rsidR="000E2F21">
        <w:rPr>
          <w:b/>
          <w:bCs/>
          <w:sz w:val="22"/>
          <w:szCs w:val="22"/>
        </w:rPr>
        <w:t xml:space="preserve"> alcalde/secretari </w:t>
      </w:r>
      <w:r>
        <w:rPr>
          <w:b/>
          <w:bCs/>
          <w:sz w:val="22"/>
          <w:szCs w:val="22"/>
        </w:rPr>
        <w:t xml:space="preserve">] </w:t>
      </w:r>
      <w:r>
        <w:rPr>
          <w:sz w:val="22"/>
          <w:szCs w:val="22"/>
        </w:rPr>
        <w:t xml:space="preserve">de </w:t>
      </w:r>
      <w:r>
        <w:rPr>
          <w:b/>
          <w:bCs/>
          <w:sz w:val="22"/>
          <w:szCs w:val="22"/>
        </w:rPr>
        <w:t>[nom entitat]</w:t>
      </w:r>
      <w:r>
        <w:rPr>
          <w:sz w:val="22"/>
          <w:szCs w:val="22"/>
        </w:rPr>
        <w:t xml:space="preserve">, amb NIF </w:t>
      </w:r>
      <w:r>
        <w:rPr>
          <w:b/>
          <w:bCs/>
          <w:sz w:val="22"/>
          <w:szCs w:val="22"/>
        </w:rPr>
        <w:t>[NIF entitat]</w:t>
      </w:r>
      <w:r>
        <w:rPr>
          <w:sz w:val="22"/>
          <w:szCs w:val="22"/>
        </w:rPr>
        <w:t xml:space="preserve">, amb el poder suficient que consta acreditat en el procediment de contractació/subvenció indicat, </w:t>
      </w:r>
    </w:p>
    <w:p w:rsidR="004027AC" w:rsidRDefault="004027AC" w:rsidP="005913A9">
      <w:pPr>
        <w:pStyle w:val="Default"/>
        <w:jc w:val="both"/>
        <w:rPr>
          <w:sz w:val="22"/>
          <w:szCs w:val="22"/>
        </w:rPr>
      </w:pPr>
    </w:p>
    <w:p w:rsidR="004027AC" w:rsidRPr="005913A9" w:rsidRDefault="004027AC" w:rsidP="005913A9">
      <w:pPr>
        <w:pStyle w:val="Default"/>
        <w:jc w:val="both"/>
        <w:rPr>
          <w:b/>
          <w:sz w:val="22"/>
          <w:szCs w:val="22"/>
        </w:rPr>
      </w:pPr>
      <w:r w:rsidRPr="005913A9">
        <w:rPr>
          <w:b/>
          <w:sz w:val="22"/>
          <w:szCs w:val="22"/>
        </w:rPr>
        <w:t xml:space="preserve">DECLARO: </w:t>
      </w:r>
    </w:p>
    <w:p w:rsidR="004027AC" w:rsidRDefault="004027AC" w:rsidP="005913A9">
      <w:pPr>
        <w:pStyle w:val="Default"/>
        <w:jc w:val="both"/>
        <w:rPr>
          <w:sz w:val="22"/>
          <w:szCs w:val="22"/>
        </w:rPr>
      </w:pPr>
    </w:p>
    <w:p w:rsidR="004027AC" w:rsidRDefault="004027AC" w:rsidP="005913A9">
      <w:pPr>
        <w:pStyle w:val="Default"/>
        <w:jc w:val="both"/>
        <w:rPr>
          <w:sz w:val="22"/>
          <w:szCs w:val="22"/>
        </w:rPr>
      </w:pPr>
      <w:r w:rsidRPr="005913A9">
        <w:rPr>
          <w:b/>
          <w:sz w:val="22"/>
          <w:szCs w:val="22"/>
        </w:rPr>
        <w:t>Primer.</w:t>
      </w:r>
      <w:r w:rsidR="000E2F21">
        <w:rPr>
          <w:sz w:val="22"/>
          <w:szCs w:val="22"/>
        </w:rPr>
        <w:t xml:space="preserve"> Que conec plenament</w:t>
      </w:r>
      <w:r>
        <w:rPr>
          <w:sz w:val="22"/>
          <w:szCs w:val="22"/>
        </w:rPr>
        <w:t xml:space="preserve"> les bases i la convocatòria que regeixen l'expedient indicat, així com la normativa que li és aplicable, i que tinc coneixement que l’article 61.3, “Conflicte d’interessos”, del Reglament (UE, </w:t>
      </w:r>
      <w:proofErr w:type="spellStart"/>
      <w:r>
        <w:rPr>
          <w:sz w:val="22"/>
          <w:szCs w:val="22"/>
        </w:rPr>
        <w:t>Euroatom</w:t>
      </w:r>
      <w:proofErr w:type="spellEnd"/>
      <w:r>
        <w:rPr>
          <w:sz w:val="22"/>
          <w:szCs w:val="22"/>
        </w:rPr>
        <w:t xml:space="preserve">) 2018/1046 del Parlament Europeu i del Consell, de 18 de juliol (Reglament financer de la UE),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:rsidR="005913A9" w:rsidRDefault="005913A9" w:rsidP="005913A9">
      <w:pPr>
        <w:pStyle w:val="Default"/>
        <w:jc w:val="both"/>
        <w:rPr>
          <w:sz w:val="22"/>
          <w:szCs w:val="22"/>
        </w:rPr>
      </w:pPr>
    </w:p>
    <w:p w:rsidR="000E2F21" w:rsidRDefault="004027AC" w:rsidP="005913A9">
      <w:pPr>
        <w:pStyle w:val="Default"/>
        <w:jc w:val="both"/>
        <w:rPr>
          <w:sz w:val="22"/>
          <w:szCs w:val="22"/>
        </w:rPr>
      </w:pPr>
      <w:r w:rsidRPr="005913A9">
        <w:rPr>
          <w:b/>
          <w:sz w:val="22"/>
          <w:szCs w:val="22"/>
        </w:rPr>
        <w:t>Segon.</w:t>
      </w:r>
      <w:r>
        <w:rPr>
          <w:sz w:val="22"/>
          <w:szCs w:val="22"/>
        </w:rPr>
        <w:t xml:space="preserve"> Que conec l’article 64, “Lluita contra la corrupció i la prevenció dels conflictes d’interessos”, de la Llei 9/2017, de 8 de novembre, de contractes del sector públic, que </w:t>
      </w:r>
      <w:r>
        <w:rPr>
          <w:sz w:val="22"/>
          <w:szCs w:val="22"/>
        </w:rPr>
        <w:lastRenderedPageBreak/>
        <w:t xml:space="preserve">defineix el conflicte d’interessos com “qualsevol situació en què el personal al servei de l’òrgan de contractació que a més participi en el desenvolupament del procediment de </w:t>
      </w:r>
    </w:p>
    <w:p w:rsidR="000E2F21" w:rsidRDefault="000E2F21" w:rsidP="005913A9">
      <w:pPr>
        <w:pStyle w:val="Default"/>
        <w:jc w:val="both"/>
        <w:rPr>
          <w:sz w:val="22"/>
          <w:szCs w:val="22"/>
        </w:rPr>
      </w:pPr>
    </w:p>
    <w:p w:rsidR="000E2F21" w:rsidRDefault="000E2F21" w:rsidP="005913A9">
      <w:pPr>
        <w:pStyle w:val="Default"/>
        <w:jc w:val="both"/>
        <w:rPr>
          <w:sz w:val="22"/>
          <w:szCs w:val="22"/>
        </w:rPr>
      </w:pPr>
    </w:p>
    <w:p w:rsidR="005913A9" w:rsidRDefault="004027AC" w:rsidP="005913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licitació o pugui influir en el seu resultat, tingui directa</w:t>
      </w:r>
      <w:r w:rsidR="005913A9">
        <w:rPr>
          <w:sz w:val="22"/>
          <w:szCs w:val="22"/>
        </w:rPr>
        <w:t>ment o indirectament un interès financer i econòmic o personal que pugui semblar que compromet la seva imparcialitat i independència en el context de l’expedient de licitació”.</w:t>
      </w:r>
    </w:p>
    <w:p w:rsidR="005913A9" w:rsidRPr="005913A9" w:rsidRDefault="005913A9" w:rsidP="005913A9">
      <w:pPr>
        <w:pStyle w:val="Default"/>
        <w:jc w:val="both"/>
        <w:rPr>
          <w:sz w:val="22"/>
          <w:szCs w:val="22"/>
        </w:rPr>
      </w:pPr>
    </w:p>
    <w:p w:rsidR="005913A9" w:rsidRDefault="005913A9" w:rsidP="005913A9">
      <w:pPr>
        <w:pStyle w:val="Default"/>
        <w:jc w:val="both"/>
        <w:rPr>
          <w:color w:val="auto"/>
          <w:sz w:val="22"/>
          <w:szCs w:val="22"/>
        </w:rPr>
      </w:pPr>
      <w:r w:rsidRPr="005913A9">
        <w:rPr>
          <w:b/>
          <w:color w:val="auto"/>
          <w:sz w:val="22"/>
          <w:szCs w:val="22"/>
        </w:rPr>
        <w:t>Tercer.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Que ni la meva persona ni, si és el cas, </w:t>
      </w:r>
      <w:r w:rsidR="000E2F21">
        <w:rPr>
          <w:b/>
          <w:bCs/>
          <w:color w:val="auto"/>
          <w:sz w:val="22"/>
          <w:szCs w:val="22"/>
        </w:rPr>
        <w:t xml:space="preserve">l’ens al </w:t>
      </w:r>
      <w:r>
        <w:rPr>
          <w:b/>
          <w:bCs/>
          <w:color w:val="auto"/>
          <w:sz w:val="22"/>
          <w:szCs w:val="22"/>
        </w:rPr>
        <w:t xml:space="preserve">qual represento es troba en cap situació que pugui comprometre el compliment de les obligacions </w:t>
      </w:r>
      <w:r>
        <w:rPr>
          <w:color w:val="auto"/>
          <w:sz w:val="22"/>
          <w:szCs w:val="22"/>
        </w:rPr>
        <w:t xml:space="preserve">exigibles per la participació en l’atorgament de la subvenció, ni que pugui comprometre el compliment d’aquestes obligacions en cas de resultar beneficiària de l'expedient. </w:t>
      </w:r>
    </w:p>
    <w:p w:rsidR="005913A9" w:rsidRDefault="005913A9" w:rsidP="005913A9">
      <w:pPr>
        <w:pStyle w:val="Default"/>
        <w:jc w:val="both"/>
        <w:rPr>
          <w:color w:val="auto"/>
          <w:sz w:val="22"/>
          <w:szCs w:val="22"/>
        </w:rPr>
      </w:pPr>
    </w:p>
    <w:p w:rsidR="005913A9" w:rsidRDefault="005913A9" w:rsidP="005913A9">
      <w:pPr>
        <w:pStyle w:val="Default"/>
        <w:jc w:val="both"/>
        <w:rPr>
          <w:color w:val="auto"/>
          <w:sz w:val="22"/>
          <w:szCs w:val="22"/>
        </w:rPr>
      </w:pPr>
      <w:r w:rsidRPr="005913A9">
        <w:rPr>
          <w:b/>
          <w:color w:val="auto"/>
          <w:sz w:val="22"/>
          <w:szCs w:val="22"/>
        </w:rPr>
        <w:t>Quart.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Que ni la meva persona ni, si és el cas, </w:t>
      </w:r>
      <w:r w:rsidR="000E2F21">
        <w:rPr>
          <w:b/>
          <w:bCs/>
          <w:color w:val="auto"/>
          <w:sz w:val="22"/>
          <w:szCs w:val="22"/>
        </w:rPr>
        <w:t xml:space="preserve">l’ens al </w:t>
      </w:r>
      <w:r>
        <w:rPr>
          <w:b/>
          <w:bCs/>
          <w:color w:val="auto"/>
          <w:sz w:val="22"/>
          <w:szCs w:val="22"/>
        </w:rPr>
        <w:t xml:space="preserve">qual represento es troba </w:t>
      </w:r>
      <w:r>
        <w:rPr>
          <w:color w:val="auto"/>
          <w:sz w:val="22"/>
          <w:szCs w:val="22"/>
        </w:rPr>
        <w:t xml:space="preserve">en una situació de conflicte d'interès, d’acord amb la definició de l'article 61 del Reglament Financer de la UE que pugui dificultar o comprometre de cap manera el compliment de les obligacions esmentades a l'apartat anterior. </w:t>
      </w:r>
    </w:p>
    <w:p w:rsidR="005913A9" w:rsidRDefault="005913A9" w:rsidP="005913A9">
      <w:pPr>
        <w:pStyle w:val="Default"/>
        <w:jc w:val="both"/>
        <w:rPr>
          <w:b/>
          <w:color w:val="auto"/>
          <w:sz w:val="22"/>
          <w:szCs w:val="22"/>
        </w:rPr>
      </w:pPr>
    </w:p>
    <w:p w:rsidR="005913A9" w:rsidRDefault="005913A9" w:rsidP="005913A9">
      <w:pPr>
        <w:pStyle w:val="Default"/>
        <w:jc w:val="both"/>
        <w:rPr>
          <w:color w:val="auto"/>
          <w:sz w:val="22"/>
          <w:szCs w:val="22"/>
        </w:rPr>
      </w:pPr>
      <w:r w:rsidRPr="005913A9">
        <w:rPr>
          <w:b/>
          <w:color w:val="auto"/>
          <w:sz w:val="22"/>
          <w:szCs w:val="22"/>
        </w:rPr>
        <w:t>Cinquè.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Que els administradors, els representants i la resta de persones amb capacitat de presa de decisions o control </w:t>
      </w:r>
      <w:r>
        <w:rPr>
          <w:color w:val="auto"/>
          <w:sz w:val="22"/>
          <w:szCs w:val="22"/>
        </w:rPr>
        <w:t xml:space="preserve">sobre </w:t>
      </w:r>
      <w:r w:rsidR="000E2F21" w:rsidRPr="000E2F21">
        <w:rPr>
          <w:b/>
          <w:bCs/>
          <w:color w:val="auto"/>
          <w:sz w:val="22"/>
          <w:szCs w:val="22"/>
        </w:rPr>
        <w:t>l’</w:t>
      </w:r>
      <w:r w:rsidR="000E2F21">
        <w:rPr>
          <w:b/>
          <w:bCs/>
          <w:color w:val="auto"/>
          <w:sz w:val="22"/>
          <w:szCs w:val="22"/>
        </w:rPr>
        <w:t>ens que represento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no es troben en la situació de conflicte definida a l'apartat quart. </w:t>
      </w:r>
    </w:p>
    <w:p w:rsidR="005913A9" w:rsidRDefault="005913A9" w:rsidP="005913A9">
      <w:pPr>
        <w:pStyle w:val="Default"/>
        <w:jc w:val="both"/>
        <w:rPr>
          <w:b/>
          <w:color w:val="auto"/>
          <w:sz w:val="22"/>
          <w:szCs w:val="22"/>
        </w:rPr>
      </w:pPr>
    </w:p>
    <w:p w:rsidR="00EE12B7" w:rsidRPr="000E2F21" w:rsidRDefault="005913A9" w:rsidP="005913A9">
      <w:pPr>
        <w:pStyle w:val="Default"/>
        <w:jc w:val="both"/>
        <w:rPr>
          <w:color w:val="auto"/>
          <w:sz w:val="22"/>
          <w:szCs w:val="22"/>
        </w:rPr>
      </w:pPr>
      <w:r w:rsidRPr="005913A9">
        <w:rPr>
          <w:b/>
          <w:color w:val="auto"/>
          <w:sz w:val="22"/>
          <w:szCs w:val="22"/>
        </w:rPr>
        <w:t>Sisè.</w:t>
      </w:r>
      <w:r>
        <w:rPr>
          <w:color w:val="auto"/>
          <w:sz w:val="22"/>
          <w:szCs w:val="22"/>
        </w:rPr>
        <w:t xml:space="preserve"> Que em comprometo a posar en coneixement de l’òrgan convocant de l’expedient, sense dilació, qualsevol situació de conflicte d’interès que comprometi o pugui comprometre el compliment de les obligacions esmentades. </w:t>
      </w:r>
    </w:p>
    <w:p w:rsidR="00EE12B7" w:rsidRDefault="00EE12B7" w:rsidP="005913A9">
      <w:pPr>
        <w:pStyle w:val="Default"/>
        <w:jc w:val="both"/>
        <w:rPr>
          <w:b/>
          <w:color w:val="auto"/>
          <w:sz w:val="22"/>
          <w:szCs w:val="22"/>
        </w:rPr>
      </w:pPr>
    </w:p>
    <w:p w:rsidR="00947E0A" w:rsidRDefault="005913A9" w:rsidP="005913A9">
      <w:pPr>
        <w:pStyle w:val="Default"/>
        <w:jc w:val="both"/>
        <w:rPr>
          <w:color w:val="auto"/>
          <w:sz w:val="22"/>
          <w:szCs w:val="22"/>
        </w:rPr>
      </w:pPr>
      <w:r w:rsidRPr="005913A9">
        <w:rPr>
          <w:b/>
          <w:color w:val="auto"/>
          <w:sz w:val="22"/>
          <w:szCs w:val="22"/>
        </w:rPr>
        <w:t>Setè.</w:t>
      </w:r>
      <w:r>
        <w:rPr>
          <w:color w:val="auto"/>
          <w:sz w:val="22"/>
          <w:szCs w:val="22"/>
        </w:rPr>
        <w:t xml:space="preserve"> Que he subministrat informació exacta, veraç i completa en el marc d’aquest expedient, i que tinc coneixement que la falsedat de la present declaració i la informació subministrada comporta les conseqüències contractuals, administratives o judicials que </w:t>
      </w:r>
    </w:p>
    <w:p w:rsidR="005913A9" w:rsidRDefault="005913A9" w:rsidP="005913A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estableixi la normativa aplicable i la documentació reguladora de la subvenció. </w:t>
      </w:r>
    </w:p>
    <w:p w:rsidR="005913A9" w:rsidRDefault="005913A9" w:rsidP="005913A9">
      <w:pPr>
        <w:pStyle w:val="Default"/>
        <w:jc w:val="both"/>
        <w:rPr>
          <w:color w:val="auto"/>
          <w:sz w:val="22"/>
          <w:szCs w:val="22"/>
        </w:rPr>
      </w:pPr>
    </w:p>
    <w:p w:rsidR="00EE12B7" w:rsidRDefault="00EE12B7" w:rsidP="005913A9">
      <w:pPr>
        <w:pStyle w:val="Default"/>
        <w:jc w:val="both"/>
        <w:rPr>
          <w:color w:val="auto"/>
          <w:sz w:val="22"/>
          <w:szCs w:val="22"/>
        </w:rPr>
      </w:pPr>
    </w:p>
    <w:p w:rsidR="005913A9" w:rsidRPr="00A000C9" w:rsidRDefault="005913A9" w:rsidP="005913A9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[Signatura]</w:t>
      </w:r>
    </w:p>
    <w:p w:rsidR="005913A9" w:rsidRPr="00A000C9" w:rsidRDefault="005913A9" w:rsidP="005913A9">
      <w:pPr>
        <w:jc w:val="both"/>
        <w:rPr>
          <w:rFonts w:cs="Arial"/>
        </w:rPr>
      </w:pPr>
    </w:p>
    <w:p w:rsidR="005913A9" w:rsidRDefault="005913A9" w:rsidP="005913A9">
      <w:pPr>
        <w:pStyle w:val="Default"/>
        <w:jc w:val="both"/>
        <w:rPr>
          <w:color w:val="auto"/>
        </w:rPr>
      </w:pPr>
    </w:p>
    <w:sectPr w:rsidR="00591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AC" w:rsidRDefault="004027AC" w:rsidP="004027AC">
      <w:pPr>
        <w:spacing w:after="0"/>
      </w:pPr>
      <w:r>
        <w:separator/>
      </w:r>
    </w:p>
  </w:endnote>
  <w:endnote w:type="continuationSeparator" w:id="0">
    <w:p w:rsidR="004027AC" w:rsidRDefault="004027AC" w:rsidP="004027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F9" w:rsidRDefault="006D52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742" w:rsidRDefault="00D66EDE">
    <w:pPr>
      <w:pStyle w:val="Piedepgina"/>
    </w:pPr>
    <w:r>
      <w:rPr>
        <w:noProof/>
        <w:lang w:eastAsia="ca-ES"/>
      </w:rPr>
      <w:drawing>
        <wp:inline distT="0" distB="0" distL="0" distR="0" wp14:anchorId="3302CAEE">
          <wp:extent cx="6309995" cy="487680"/>
          <wp:effectExtent l="0" t="0" r="0" b="762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52F9" w:rsidRDefault="006D52F9">
    <w:pPr>
      <w:pStyle w:val="Piedepgin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F9" w:rsidRDefault="006D52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AC" w:rsidRDefault="004027AC" w:rsidP="004027AC">
      <w:pPr>
        <w:spacing w:after="0"/>
      </w:pPr>
      <w:r>
        <w:separator/>
      </w:r>
    </w:p>
  </w:footnote>
  <w:footnote w:type="continuationSeparator" w:id="0">
    <w:p w:rsidR="004027AC" w:rsidRDefault="004027AC" w:rsidP="004027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F9" w:rsidRDefault="006D52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AC" w:rsidRDefault="006D52F9">
    <w:pPr>
      <w:pStyle w:val="Encabezado"/>
    </w:pPr>
    <w:r w:rsidRPr="00BE04C1">
      <w:rPr>
        <w:noProof/>
        <w:highlight w:val="yellow"/>
        <w:lang w:eastAsia="ca-ES"/>
      </w:rPr>
      <w:t>Logo ens sol·licitant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F9" w:rsidRDefault="006D52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C9"/>
    <w:rsid w:val="000E2F21"/>
    <w:rsid w:val="003E2F08"/>
    <w:rsid w:val="004027AC"/>
    <w:rsid w:val="0052447E"/>
    <w:rsid w:val="005913A9"/>
    <w:rsid w:val="006115F9"/>
    <w:rsid w:val="006D52F9"/>
    <w:rsid w:val="00947E0A"/>
    <w:rsid w:val="00A000C9"/>
    <w:rsid w:val="00AA7742"/>
    <w:rsid w:val="00BE04C1"/>
    <w:rsid w:val="00D66EDE"/>
    <w:rsid w:val="00EE12B7"/>
    <w:rsid w:val="00F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84AB148-F225-43D9-9B56-21E1F426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2B7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0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027AC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27AC"/>
  </w:style>
  <w:style w:type="paragraph" w:styleId="Piedepgina">
    <w:name w:val="footer"/>
    <w:basedOn w:val="Normal"/>
    <w:link w:val="PiedepginaCar"/>
    <w:uiPriority w:val="99"/>
    <w:unhideWhenUsed/>
    <w:rsid w:val="004027AC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27AC"/>
  </w:style>
  <w:style w:type="table" w:styleId="Tablaconcuadrcula">
    <w:name w:val="Table Grid"/>
    <w:basedOn w:val="Tablanormal"/>
    <w:uiPriority w:val="39"/>
    <w:rsid w:val="00EE12B7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Espasa Suarez de Deza, Merce</dc:creator>
  <cp:keywords/>
  <dc:description/>
  <cp:lastModifiedBy>Espasa Suarez de Deza, Merce</cp:lastModifiedBy>
  <cp:revision>6</cp:revision>
  <dcterms:created xsi:type="dcterms:W3CDTF">2023-10-11T08:37:00Z</dcterms:created>
  <dcterms:modified xsi:type="dcterms:W3CDTF">2024-01-19T15:46:00Z</dcterms:modified>
</cp:coreProperties>
</file>